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media/image2.jpg" ContentType="image/jp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69" w:after="80" w:line="279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strike w:val="false"/>
          <w:color w:val="003399"/>
          <w:spacing w:val="-4"/>
          <w:w w:val="100"/>
          <w:sz w:val="28"/>
          <w:vertAlign w:val="baseline"/>
          <w:lang w:val="it-IT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72.1pt;height:161.25pt;z-index:-1000;margin-left:66pt;margin-top: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3566"/>
                    <w:gridCol w:w="4210"/>
                    <w:gridCol w:w="1666"/>
                  </w:tblGrid>
                  <w:tr>
                    <w:trPr>
                      <w:trHeight w:val="1281" w:hRule="exact"/>
                    </w:trPr>
                    <w:tc>
                      <w:tcPr>
                        <w:tcW w:w="3566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1" w:after="13" w:line="240" w:lineRule="auto"/>
                          <w:ind w:right="0" w:left="19"/>
                          <w:jc w:val="center"/>
                          <w:textAlignment w:val="baseline"/>
                        </w:pPr>
                        <w:r>
                          <w:drawing>
                            <wp:inline>
                              <wp:extent cx="2252345" cy="804545"/>
                              <wp:docPr name="Picture" id="1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Picture"/>
                                      <pic:cNvPicPr preferRelativeResize="false"/>
                                    </pic:nvPicPr>
                                    <pic:blipFill>
                                      <a:blip r:embed="p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52345" cy="804545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776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514" w:after="575" w:line="188" w:lineRule="exact"/>
                          <w:ind w:right="1982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b w:val="true"/>
                            <w:strike w:val="false"/>
                            <w:color w:val="585858"/>
                            <w:spacing w:val="0"/>
                            <w:w w:val="100"/>
                            <w:sz w:val="16"/>
                            <w:vertAlign w:val="baseline"/>
                            <w:lang w:val="it-IT"/>
                          </w:rPr>
                        </w:pPr>
                        <w:r>
                          <w:rPr>
                            <w:rFonts w:ascii="Arial" w:hAnsi="Arial" w:eastAsia="Arial"/>
                            <w:b w:val="true"/>
                            <w:strike w:val="false"/>
                            <w:color w:val="585858"/>
                            <w:spacing w:val="0"/>
                            <w:w w:val="100"/>
                            <w:sz w:val="16"/>
                            <w:vertAlign w:val="baseline"/>
                            <w:lang w:val="it-IT"/>
                          </w:rPr>
                          <w:t xml:space="preserve">(LOGO RICHIEDENTE)</w:t>
                        </w:r>
                      </w:p>
                    </w:tc>
                    <w:tc>
                      <w:tcPr>
                        <w:tcW w:w="9442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1" w:after="13" w:line="240" w:lineRule="auto"/>
                          <w:ind w:right="0" w:left="0"/>
                          <w:jc w:val="center"/>
                          <w:textAlignment w:val="baseline"/>
                        </w:pPr>
                        <w:r>
                          <w:drawing>
                            <wp:inline>
                              <wp:extent cx="1057910" cy="704215"/>
                              <wp:docPr name="Picture" id="2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Picture"/>
                                      <pic:cNvPicPr preferRelativeResize="false"/>
                                    </pic:nvPicPr>
                                    <pic:blipFill>
                                      <a:blip r:embed="p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57910" cy="704215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before="0" w:after="1924" w:line="20" w:lineRule="exact"/>
                  </w:pPr>
                </w:p>
              </w:txbxContent>
            </v:textbox>
          </v:shape>
        </w:pict>
      </w:r>
      <w:r>
        <w:rPr>
          <w:rFonts w:ascii="Garamond" w:hAnsi="Garamond" w:eastAsia="Garamond"/>
          <w:b w:val="true"/>
          <w:strike w:val="false"/>
          <w:color w:val="003399"/>
          <w:spacing w:val="-4"/>
          <w:w w:val="100"/>
          <w:sz w:val="28"/>
          <w:vertAlign w:val="baseline"/>
          <w:lang w:val="it-IT"/>
        </w:rPr>
        <w:t xml:space="preserve">T</w:t>
      </w:r>
      <w:r>
        <w:rPr>
          <w:rFonts w:ascii="Garamond" w:hAnsi="Garamond" w:eastAsia="Garamond"/>
          <w:b w:val="true"/>
          <w:strike w:val="false"/>
          <w:color w:val="003399"/>
          <w:spacing w:val="-4"/>
          <w:w w:val="100"/>
          <w:sz w:val="22"/>
          <w:vertAlign w:val="baseline"/>
          <w:lang w:val="it-IT"/>
        </w:rPr>
        <w:t xml:space="preserve">ITOLARE </w:t>
      </w:r>
      <w:r>
        <w:rPr>
          <w:rFonts w:ascii="Garamond" w:hAnsi="Garamond" w:eastAsia="Garamond"/>
          <w:b w:val="true"/>
          <w:strike w:val="false"/>
          <w:color w:val="003399"/>
          <w:spacing w:val="-4"/>
          <w:w w:val="100"/>
          <w:sz w:val="28"/>
          <w:vertAlign w:val="baseline"/>
          <w:lang w:val="it-IT"/>
        </w:rPr>
        <w:t xml:space="preserve">A</w:t>
      </w:r>
      <w:r>
        <w:rPr>
          <w:rFonts w:ascii="Garamond" w:hAnsi="Garamond" w:eastAsia="Garamond"/>
          <w:b w:val="true"/>
          <w:strike w:val="false"/>
          <w:color w:val="003399"/>
          <w:spacing w:val="-4"/>
          <w:w w:val="100"/>
          <w:sz w:val="22"/>
          <w:vertAlign w:val="baseline"/>
          <w:lang w:val="it-IT"/>
        </w:rPr>
        <w:t xml:space="preserve">UTORIZZAZIONE</w:t>
      </w:r>
      <w:r>
        <w:rPr>
          <w:rFonts w:ascii="Garamond" w:hAnsi="Garamond" w:eastAsia="Garamond"/>
          <w:b w:val="true"/>
          <w:strike w:val="false"/>
          <w:color w:val="003399"/>
          <w:spacing w:val="-4"/>
          <w:w w:val="100"/>
          <w:sz w:val="28"/>
          <w:vertAlign w:val="baseline"/>
          <w:lang w:val="it-IT"/>
        </w:rPr>
        <w:t xml:space="preserve">:</w:t>
      </w:r>
      <w:r>
        <w:rPr>
          <w:rFonts w:ascii="Garamond" w:hAnsi="Garamond" w:eastAsia="Garamond"/>
          <w:b w:val="true"/>
          <w:strike w:val="false"/>
          <w:color w:val="7E7E7E"/>
          <w:spacing w:val="-4"/>
          <w:w w:val="100"/>
          <w:sz w:val="28"/>
          <w:vertAlign w:val="baseline"/>
          <w:lang w:val="it-IT"/>
        </w:rPr>
        <w:t xml:space="preserve"> NOME OPERATORE</w:t>
      </w:r>
    </w:p>
    <w:p>
      <w:pPr>
        <w:pageBreakBefore w:val="false"/>
        <w:pBdr>
          <w:top w:sz="5" w:space="0" w:color="003399" w:val="single"/>
          <w:left w:sz="5" w:space="0" w:color="003399" w:val="single"/>
          <w:bottom w:sz="5" w:space="4" w:color="003399" w:val="single"/>
          <w:right w:sz="5" w:space="0" w:color="003399" w:val="single"/>
        </w:pBdr>
        <w:spacing w:before="0" w:after="0" w:line="279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strike w:val="false"/>
          <w:color w:val="003399"/>
          <w:spacing w:val="-5"/>
          <w:w w:val="100"/>
          <w:sz w:val="28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003399"/>
          <w:spacing w:val="-5"/>
          <w:w w:val="100"/>
          <w:sz w:val="28"/>
          <w:vertAlign w:val="baseline"/>
          <w:lang w:val="it-IT"/>
        </w:rPr>
        <w:t xml:space="preserve">IT AEOC/S/F AA-XXXX</w:t>
      </w:r>
    </w:p>
    <w:p>
      <w:pPr>
        <w:pageBreakBefore w:val="false"/>
        <w:tabs>
          <w:tab w:val="left" w:leader="hyphen" w:pos="6624"/>
        </w:tabs>
        <w:spacing w:before="0" w:after="0" w:line="264" w:lineRule="exact"/>
        <w:ind w:right="0" w:left="2952" w:firstLine="0"/>
        <w:jc w:val="center"/>
        <w:textAlignment w:val="baseline"/>
        <w:rPr>
          <w:rFonts w:ascii="Garamond" w:hAnsi="Garamond" w:eastAsia="Garamond"/>
          <w:b w:val="true"/>
          <w:strike w:val="false"/>
          <w:color w:val="585858"/>
          <w:spacing w:val="4"/>
          <w:w w:val="100"/>
          <w:sz w:val="24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585858"/>
          <w:spacing w:val="4"/>
          <w:w w:val="100"/>
          <w:sz w:val="24"/>
          <w:vertAlign w:val="baseline"/>
          <w:lang w:val="it-IT"/>
        </w:rPr>
        <w:t xml:space="preserve">C</w:t>
      </w:r>
      <w:r>
        <w:rPr>
          <w:rFonts w:ascii="Garamond" w:hAnsi="Garamond" w:eastAsia="Garamond"/>
          <w:b w:val="true"/>
          <w:strike w:val="false"/>
          <w:color w:val="585858"/>
          <w:spacing w:val="4"/>
          <w:w w:val="100"/>
          <w:sz w:val="19"/>
          <w:vertAlign w:val="baseline"/>
          <w:lang w:val="it-IT"/>
        </w:rPr>
        <w:t xml:space="preserve">ODICE </w:t>
      </w:r>
      <w:r>
        <w:rPr>
          <w:rFonts w:ascii="Garamond" w:hAnsi="Garamond" w:eastAsia="Garamond"/>
          <w:b w:val="true"/>
          <w:strike w:val="false"/>
          <w:color w:val="585858"/>
          <w:spacing w:val="4"/>
          <w:w w:val="100"/>
          <w:sz w:val="24"/>
          <w:vertAlign w:val="baseline"/>
          <w:lang w:val="it-IT"/>
        </w:rPr>
        <w:t xml:space="preserve">E O R I</w:t>
      </w:r>
      <w:r>
        <w:rPr>
          <w:rFonts w:ascii="Garamond" w:hAnsi="Garamond" w:eastAsia="Garamond"/>
          <w:b w:val="true"/>
          <w:strike w:val="false"/>
          <w:color w:val="003399"/>
          <w:spacing w:val="4"/>
          <w:w w:val="100"/>
          <w:sz w:val="24"/>
          <w:vertAlign w:val="baseline"/>
          <w:lang w:val="it-IT"/>
        </w:rPr>
        <w:t xml:space="preserve"> 	</w:t>
      </w:r>
      <w:r>
        <w:rPr>
          <w:rFonts w:ascii="Garamond" w:hAnsi="Garamond" w:eastAsia="Garamond"/>
          <w:b w:val="true"/>
          <w:strike w:val="false"/>
          <w:color w:val="003399"/>
          <w:spacing w:val="4"/>
          <w:w w:val="100"/>
          <w:sz w:val="24"/>
          <w:vertAlign w:val="baseline"/>
          <w:lang w:val="it-IT"/>
        </w:rPr>
        <w:t xml:space="preserve">
</w:t>
      </w:r>
    </w:p>
    <w:p>
      <w:pPr>
        <w:pageBreakBefore w:val="false"/>
        <w:spacing w:before="1130" w:after="0" w:line="353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1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1"/>
          <w:vertAlign w:val="baseline"/>
          <w:lang w:val="it-IT"/>
        </w:rPr>
        <w:t xml:space="preserve">AGENZIA DELLE DOGANE E DEI MONOPOLI</w:t>
      </w:r>
    </w:p>
    <w:p>
      <w:pPr>
        <w:pageBreakBefore w:val="false"/>
        <w:tabs>
          <w:tab w:val="left" w:leader="hyphen" w:pos="7848"/>
        </w:tabs>
        <w:spacing w:before="0" w:after="0" w:line="279" w:lineRule="exact"/>
        <w:ind w:right="0" w:left="1800" w:firstLine="0"/>
        <w:jc w:val="center"/>
        <w:textAlignment w:val="baseline"/>
        <w:rPr>
          <w:rFonts w:ascii="Garamond" w:hAnsi="Garamond" w:eastAsia="Garamond"/>
          <w:b w:val="true"/>
          <w:strike w:val="false"/>
          <w:color w:val="585858"/>
          <w:spacing w:val="3"/>
          <w:w w:val="100"/>
          <w:sz w:val="28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585858"/>
          <w:spacing w:val="3"/>
          <w:w w:val="100"/>
          <w:sz w:val="28"/>
          <w:vertAlign w:val="baseline"/>
          <w:lang w:val="it-IT"/>
        </w:rPr>
        <w:t xml:space="preserve">D</w:t>
      </w:r>
      <w:r>
        <w:rPr>
          <w:rFonts w:ascii="Garamond" w:hAnsi="Garamond" w:eastAsia="Garamond"/>
          <w:b w:val="true"/>
          <w:strike w:val="false"/>
          <w:color w:val="585858"/>
          <w:spacing w:val="3"/>
          <w:w w:val="100"/>
          <w:sz w:val="22"/>
          <w:vertAlign w:val="baseline"/>
          <w:lang w:val="it-IT"/>
        </w:rPr>
        <w:t xml:space="preserve">IREZIONE </w:t>
      </w:r>
      <w:r>
        <w:rPr>
          <w:rFonts w:ascii="Garamond" w:hAnsi="Garamond" w:eastAsia="Garamond"/>
          <w:b w:val="true"/>
          <w:strike w:val="false"/>
          <w:color w:val="585858"/>
          <w:spacing w:val="3"/>
          <w:w w:val="100"/>
          <w:sz w:val="28"/>
          <w:vertAlign w:val="baseline"/>
          <w:lang w:val="it-IT"/>
        </w:rPr>
        <w:t xml:space="preserve">T</w:t>
      </w:r>
      <w:r>
        <w:rPr>
          <w:rFonts w:ascii="Garamond" w:hAnsi="Garamond" w:eastAsia="Garamond"/>
          <w:b w:val="true"/>
          <w:strike w:val="false"/>
          <w:color w:val="585858"/>
          <w:spacing w:val="3"/>
          <w:w w:val="100"/>
          <w:sz w:val="22"/>
          <w:vertAlign w:val="baseline"/>
          <w:lang w:val="it-IT"/>
        </w:rPr>
        <w:t xml:space="preserve">ERRITORIALE 	</w:t>
      </w:r>
      <w:r>
        <w:rPr>
          <w:rFonts w:ascii="Garamond" w:hAnsi="Garamond" w:eastAsia="Garamond"/>
          <w:b w:val="true"/>
          <w:strike w:val="false"/>
          <w:color w:val="585858"/>
          <w:spacing w:val="3"/>
          <w:w w:val="100"/>
          <w:sz w:val="22"/>
          <w:vertAlign w:val="baseline"/>
          <w:lang w:val="it-IT"/>
        </w:rPr>
        <w:t xml:space="preserve">
</w:t>
      </w:r>
    </w:p>
    <w:p>
      <w:pPr>
        <w:pageBreakBefore w:val="false"/>
        <w:tabs>
          <w:tab w:val="left" w:leader="hyphen" w:pos="6624"/>
        </w:tabs>
        <w:spacing w:before="38" w:after="0" w:line="279" w:lineRule="exact"/>
        <w:ind w:right="0" w:left="2952" w:firstLine="0"/>
        <w:jc w:val="center"/>
        <w:textAlignment w:val="baseline"/>
        <w:rPr>
          <w:rFonts w:ascii="Garamond" w:hAnsi="Garamond" w:eastAsia="Garamond"/>
          <w:b w:val="true"/>
          <w:strike w:val="false"/>
          <w:color w:val="585858"/>
          <w:spacing w:val="6"/>
          <w:w w:val="100"/>
          <w:sz w:val="28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585858"/>
          <w:spacing w:val="6"/>
          <w:w w:val="100"/>
          <w:sz w:val="28"/>
          <w:vertAlign w:val="baseline"/>
          <w:lang w:val="it-IT"/>
        </w:rPr>
        <w:t xml:space="preserve">U</w:t>
      </w:r>
      <w:r>
        <w:rPr>
          <w:rFonts w:ascii="Garamond" w:hAnsi="Garamond" w:eastAsia="Garamond"/>
          <w:b w:val="true"/>
          <w:strike w:val="false"/>
          <w:color w:val="585858"/>
          <w:spacing w:val="6"/>
          <w:w w:val="100"/>
          <w:sz w:val="22"/>
          <w:vertAlign w:val="baseline"/>
          <w:lang w:val="it-IT"/>
        </w:rPr>
        <w:t xml:space="preserve">FFICIO DI 	</w:t>
      </w:r>
      <w:r>
        <w:rPr>
          <w:rFonts w:ascii="Garamond" w:hAnsi="Garamond" w:eastAsia="Garamond"/>
          <w:b w:val="true"/>
          <w:strike w:val="false"/>
          <w:color w:val="585858"/>
          <w:spacing w:val="6"/>
          <w:w w:val="100"/>
          <w:sz w:val="22"/>
          <w:vertAlign w:val="baseline"/>
          <w:lang w:val="it-IT"/>
        </w:rPr>
        <w:t xml:space="preserve">
</w:t>
      </w:r>
    </w:p>
    <w:p>
      <w:pPr>
        <w:pageBreakBefore w:val="false"/>
        <w:spacing w:before="1295" w:after="0" w:line="279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strike w:val="false"/>
          <w:color w:val="585858"/>
          <w:spacing w:val="-1"/>
          <w:w w:val="100"/>
          <w:sz w:val="28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585858"/>
          <w:spacing w:val="-1"/>
          <w:w w:val="100"/>
          <w:sz w:val="28"/>
          <w:vertAlign w:val="baseline"/>
          <w:lang w:val="it-IT"/>
        </w:rPr>
        <w:t xml:space="preserve">ATTIVITA’ DI GESTIONE DELLE DECISIONI ADOTTATE SU</w:t>
      </w:r>
    </w:p>
    <w:p>
      <w:pPr>
        <w:pageBreakBefore w:val="false"/>
        <w:spacing w:before="38" w:after="306" w:line="279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strike w:val="false"/>
          <w:color w:val="585858"/>
          <w:spacing w:val="0"/>
          <w:w w:val="100"/>
          <w:sz w:val="28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585858"/>
          <w:spacing w:val="0"/>
          <w:w w:val="100"/>
          <w:sz w:val="28"/>
          <w:vertAlign w:val="baseline"/>
          <w:lang w:val="it-IT"/>
        </w:rPr>
        <w:t xml:space="preserve">RICHIESTA</w:t>
      </w:r>
    </w:p>
    <w:p>
      <w:pPr>
        <w:pageBreakBefore w:val="false"/>
        <w:spacing w:before="0" w:after="0" w:line="515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strike w:val="false"/>
          <w:color w:val="003399"/>
          <w:spacing w:val="20"/>
          <w:w w:val="100"/>
          <w:sz w:val="47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003399"/>
          <w:spacing w:val="20"/>
          <w:w w:val="100"/>
          <w:sz w:val="47"/>
          <w:vertAlign w:val="baseline"/>
          <w:lang w:val="it-IT"/>
        </w:rPr>
        <w:t xml:space="preserve">AUTOMONITORAGGIO</w:t>
      </w:r>
    </w:p>
    <w:p>
      <w:pPr>
        <w:pageBreakBefore w:val="false"/>
        <w:spacing w:before="0" w:after="4688" w:line="222" w:lineRule="exact"/>
        <w:ind w:right="0" w:left="0" w:firstLine="0"/>
        <w:jc w:val="center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18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18"/>
          <w:vertAlign w:val="baseline"/>
          <w:lang w:val="it-IT"/>
        </w:rPr>
        <w:t xml:space="preserve">(art. 23, paragrafo 2 del Reg. UE n. 952/2013, art. 5.I.1 degli Orientamenti TAXUD/B2/047/2011 </w:t>
      </w:r>
      <w:r>
        <w:rPr>
          <w:rFonts w:ascii="Garamond" w:hAnsi="Garamond" w:eastAsia="Garamond"/>
          <w:strike w:val="false"/>
          <w:color w:val="000000"/>
          <w:spacing w:val="0"/>
          <w:w w:val="100"/>
          <w:sz w:val="24"/>
          <w:vertAlign w:val="baseline"/>
          <w:lang w:val="it-IT"/>
        </w:rPr>
        <w:t xml:space="preserve">– </w:t>
      </w:r>
      <w:r>
        <w:rPr>
          <w:rFonts w:ascii="Garamond" w:hAnsi="Garamond" w:eastAsia="Garamond"/>
          <w:strike w:val="false"/>
          <w:color w:val="000000"/>
          <w:spacing w:val="0"/>
          <w:w w:val="100"/>
          <w:sz w:val="18"/>
          <w:vertAlign w:val="baseline"/>
          <w:lang w:val="it-IT"/>
        </w:rPr>
        <w:t xml:space="preserve">rev.6)</w:t>
      </w:r>
    </w:p>
    <w:p>
      <w:pPr>
        <w:spacing w:before="0" w:after="4688" w:line="222" w:lineRule="exact"/>
        <w:sectPr>
          <w:type w:val="nextPage"/>
          <w:pgSz w:w="11909" w:h="16838" w:orient="portrait"/>
          <w:pgMar w:bottom="442" w:top="4525" w:right="989" w:left="1200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648"/>
        </w:tabs>
        <w:spacing w:before="7" w:after="0" w:line="209" w:lineRule="exact"/>
        <w:ind w:right="0" w:left="0" w:firstLine="0"/>
        <w:jc w:val="left"/>
        <w:textAlignment w:val="baseline"/>
        <w:rPr>
          <w:rFonts w:ascii="Arial Narrow" w:hAnsi="Arial Narrow" w:eastAsia="Arial Narrow"/>
          <w:b w:val="true"/>
          <w:strike w:val="false"/>
          <w:color w:val="585858"/>
          <w:spacing w:val="0"/>
          <w:w w:val="100"/>
          <w:sz w:val="18"/>
          <w:vertAlign w:val="baseline"/>
          <w:lang w:val="it-IT"/>
        </w:rPr>
      </w:pPr>
      <w:r>
        <w:rPr>
          <w:rFonts w:ascii="Arial Narrow" w:hAnsi="Arial Narrow" w:eastAsia="Arial Narrow"/>
          <w:b w:val="true"/>
          <w:strike w:val="false"/>
          <w:color w:val="585858"/>
          <w:spacing w:val="0"/>
          <w:w w:val="100"/>
          <w:sz w:val="18"/>
          <w:vertAlign w:val="baseline"/>
          <w:lang w:val="it-IT"/>
        </w:rPr>
        <w:t xml:space="preserve">AD USO INTERNO E DELL’OPERATORE AEO</w:t>
      </w:r>
      <w:r>
        <w:rPr>
          <w:rFonts w:ascii="Arial Narrow" w:hAnsi="Arial Narrow" w:eastAsia="Arial Narrow"/>
          <w:b w:val="true"/>
          <w:strike w:val="false"/>
          <w:color w:val="0000CC"/>
          <w:spacing w:val="0"/>
          <w:w w:val="100"/>
          <w:sz w:val="18"/>
          <w:vertAlign w:val="baseline"/>
          <w:lang w:val="it-IT"/>
        </w:rPr>
        <w:tab/>
      </w:r>
      <w:r>
        <w:rPr>
          <w:rFonts w:ascii="Arial Narrow" w:hAnsi="Arial Narrow" w:eastAsia="Arial Narrow"/>
          <w:b w:val="true"/>
          <w:strike w:val="false"/>
          <w:color w:val="0000CC"/>
          <w:spacing w:val="0"/>
          <w:w w:val="100"/>
          <w:sz w:val="18"/>
          <w:vertAlign w:val="baseline"/>
          <w:lang w:val="it-IT"/>
        </w:rPr>
        <w:t xml:space="preserve">REV.0.5</w:t>
      </w:r>
    </w:p>
    <w:p>
      <w:pPr>
        <w:pageBreakBefore w:val="false"/>
        <w:spacing w:before="0" w:after="0" w:line="207" w:lineRule="exact"/>
        <w:ind w:right="0" w:left="6696" w:firstLine="0"/>
        <w:jc w:val="right"/>
        <w:textAlignment w:val="baseline"/>
        <w:rPr>
          <w:rFonts w:ascii="Arial Narrow" w:hAnsi="Arial Narrow" w:eastAsia="Arial Narrow"/>
          <w:b w:val="true"/>
          <w:strike w:val="false"/>
          <w:color w:val="585858"/>
          <w:spacing w:val="0"/>
          <w:w w:val="100"/>
          <w:sz w:val="18"/>
          <w:vertAlign w:val="baseline"/>
          <w:lang w:val="it-IT"/>
        </w:rPr>
      </w:pPr>
      <w:r>
        <w:rPr>
          <w:rFonts w:ascii="Arial Narrow" w:hAnsi="Arial Narrow" w:eastAsia="Arial Narrow"/>
          <w:b w:val="true"/>
          <w:strike w:val="false"/>
          <w:color w:val="585858"/>
          <w:spacing w:val="0"/>
          <w:w w:val="100"/>
          <w:sz w:val="18"/>
          <w:vertAlign w:val="baseline"/>
          <w:lang w:val="it-IT"/>
        </w:rPr>
        <w:t xml:space="preserve">AUTORE ULTIMA MODIFICA:</w:t>
      </w:r>
      <w:r>
        <w:rPr>
          <w:rFonts w:ascii="Arial Narrow" w:hAnsi="Arial Narrow" w:eastAsia="Arial Narrow"/>
          <w:b w:val="true"/>
          <w:strike w:val="false"/>
          <w:color w:val="0000CC"/>
          <w:spacing w:val="0"/>
          <w:w w:val="100"/>
          <w:sz w:val="18"/>
          <w:vertAlign w:val="baseline"/>
          <w:lang w:val="it-IT"/>
        </w:rPr>
        <w:t xml:space="preserve"> U</w:t>
      </w:r>
      <w:r>
        <w:rPr>
          <w:rFonts w:ascii="Arial Narrow" w:hAnsi="Arial Narrow" w:eastAsia="Arial Narrow"/>
          <w:b w:val="true"/>
          <w:strike w:val="false"/>
          <w:color w:val="0000CC"/>
          <w:spacing w:val="0"/>
          <w:w w:val="100"/>
          <w:sz w:val="14"/>
          <w:vertAlign w:val="baseline"/>
          <w:lang w:val="it-IT"/>
        </w:rPr>
        <w:t xml:space="preserve">FFICIO </w:t>
      </w:r>
      <w:r>
        <w:rPr>
          <w:rFonts w:ascii="Arial Narrow" w:hAnsi="Arial Narrow" w:eastAsia="Arial Narrow"/>
          <w:b w:val="true"/>
          <w:strike w:val="false"/>
          <w:color w:val="0000CC"/>
          <w:spacing w:val="0"/>
          <w:w w:val="100"/>
          <w:sz w:val="18"/>
          <w:vertAlign w:val="baseline"/>
          <w:lang w:val="it-IT"/>
        </w:rPr>
        <w:t xml:space="preserve">AEO </w:t>
      </w:r>
      <w:r>
        <w:rPr>
          <w:rFonts w:ascii="Arial Narrow" w:hAnsi="Arial Narrow" w:eastAsia="Arial Narrow"/>
          <w:b w:val="true"/>
          <w:strike w:val="false"/>
          <w:color w:val="585858"/>
          <w:spacing w:val="0"/>
          <w:w w:val="100"/>
          <w:sz w:val="18"/>
          <w:vertAlign w:val="baseline"/>
          <w:lang w:val="it-IT"/>
        </w:rPr>
        <w:t xml:space="preserve">DATA ULTIMA MODIFICA:</w:t>
      </w:r>
      <w:r>
        <w:rPr>
          <w:rFonts w:ascii="Arial Narrow" w:hAnsi="Arial Narrow" w:eastAsia="Arial Narrow"/>
          <w:b w:val="true"/>
          <w:strike w:val="false"/>
          <w:color w:val="0000CC"/>
          <w:spacing w:val="0"/>
          <w:w w:val="100"/>
          <w:sz w:val="18"/>
          <w:vertAlign w:val="baseline"/>
          <w:lang w:val="it-IT"/>
        </w:rPr>
        <w:t xml:space="preserve"> 21MAG2020</w:t>
      </w:r>
    </w:p>
    <w:p>
      <w:pPr>
        <w:sectPr>
          <w:type w:val="continuous"/>
          <w:pgSz w:w="11909" w:h="16838" w:orient="portrait"/>
          <w:pgMar w:bottom="442" w:top="4525" w:right="869" w:left="1320" w:header="720" w:footer="720"/>
          <w:titlePg w:val="false"/>
          <w:textDirection w:val="lrTb"/>
        </w:sectPr>
      </w:pPr>
    </w:p>
    <w:p>
      <w:pPr>
        <w:pageBreakBefore w:val="false"/>
        <w:spacing w:before="13" w:after="0" w:line="205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strike w:val="false"/>
          <w:color w:val="003399"/>
          <w:spacing w:val="15"/>
          <w:w w:val="100"/>
          <w:sz w:val="18"/>
          <w:vertAlign w:val="baseline"/>
          <w:lang w:val="it-IT"/>
        </w:rPr>
      </w:pPr>
      <w:r>
        <w:rPr>
          <w:rFonts w:ascii="Arial" w:hAnsi="Arial" w:eastAsia="Arial"/>
          <w:b w:val="true"/>
          <w:strike w:val="false"/>
          <w:color w:val="003399"/>
          <w:spacing w:val="15"/>
          <w:w w:val="100"/>
          <w:sz w:val="18"/>
          <w:vertAlign w:val="baseline"/>
          <w:lang w:val="it-IT"/>
        </w:rPr>
        <w:t xml:space="preserve">AUTOMONITORAGGIO</w:t>
      </w:r>
    </w:p>
    <w:p>
      <w:pPr>
        <w:pageBreakBefore w:val="false"/>
        <w:spacing w:before="585" w:after="0" w:line="350" w:lineRule="exact"/>
        <w:ind w:right="0" w:left="72" w:firstLine="0"/>
        <w:jc w:val="left"/>
        <w:textAlignment w:val="baseline"/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  <w:t xml:space="preserve">1. Variazioni Informazioni Generali AEO</w:t>
      </w:r>
    </w:p>
    <w:p>
      <w:pPr>
        <w:pageBreakBefore w:val="false"/>
        <w:spacing w:before="34" w:after="0" w:line="259" w:lineRule="exact"/>
        <w:ind w:right="288" w:left="72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Riportare </w:t>
      </w: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solo i cambiamenti e/o le informazioni rilevanti ai fini del monitoraggio dell’autorizzazione AEO</w:t>
      </w: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, inserendo in tabella i dati aggiornati (salvo ove indicato diversamente), riguardanti: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226" w:after="0" w:line="259" w:lineRule="exact"/>
        <w:ind w:right="288" w:left="432" w:hanging="36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anagrafica dell’AEO, assetto societario e proprietario, organizzazione, altre autorizzazioni/certificati, sedi, attività operative, ruolo nella supply chain, recapiti/indirizzi e riferimenti;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231" w:after="206" w:line="259" w:lineRule="exact"/>
        <w:ind w:right="288" w:left="432" w:hanging="36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variazioni del tipo di attività, del volume di affari, delle modalità di espletamento delle attività doganali (sommaria descrizione, massimo cinque righe).</w:t>
      </w:r>
    </w:p>
    <w:tbl>
      <w:tblPr>
        <w:jc w:val="left"/>
        <w:tblInd w:w="17" w:type="dxa"/>
        <w:tblLayout w:type="fixed"/>
        <w:tblCellMar>
          <w:left w:w="0" w:type="dxa"/>
          <w:right w:w="0" w:type="dxa"/>
        </w:tblCellMar>
      </w:tblPr>
      <w:tblGrid>
        <w:gridCol w:w="4090"/>
        <w:gridCol w:w="5596"/>
      </w:tblGrid>
      <w:tr>
        <w:trPr>
          <w:trHeight w:val="422" w:hRule="exact"/>
        </w:trPr>
        <w:tc>
          <w:tcPr>
            <w:tcW w:w="410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92" w:after="110" w:line="206" w:lineRule="exact"/>
              <w:ind w:right="0" w:left="110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Nome impresa/Ragione sociale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92" w:after="110" w:line="206" w:lineRule="exact"/>
              <w:ind w:right="0" w:left="100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Denominazione dell’AEO e assetto soc. (Spa, Srl, Srls, etc)</w:t>
            </w:r>
          </w:p>
        </w:tc>
      </w:tr>
      <w:tr>
        <w:trPr>
          <w:trHeight w:val="821" w:hRule="exact"/>
        </w:trPr>
        <w:tc>
          <w:tcPr>
            <w:tcW w:w="410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89" w:after="311" w:line="206" w:lineRule="exact"/>
              <w:ind w:right="0" w:left="110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Sede legale/amministrativa/altre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89" w:after="311" w:line="206" w:lineRule="exact"/>
              <w:ind w:right="0" w:left="100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apertura/chiusura/variazioni</w:t>
            </w:r>
          </w:p>
        </w:tc>
      </w:tr>
      <w:tr>
        <w:trPr>
          <w:trHeight w:val="480" w:hRule="exact"/>
        </w:trPr>
        <w:tc>
          <w:tcPr>
            <w:tcW w:w="410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4" w:line="220" w:lineRule="exact"/>
              <w:ind w:right="396" w:left="108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Cambi di indirizzo per comunicazioni e/o punto di contatto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  <w:tr>
        <w:trPr>
          <w:trHeight w:val="413" w:hRule="exact"/>
        </w:trPr>
        <w:tc>
          <w:tcPr>
            <w:tcW w:w="410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7" w:after="120" w:line="206" w:lineRule="exact"/>
              <w:ind w:right="0" w:left="110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Cambiamenti di ruolo nella catena logistica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  <w:tr>
        <w:trPr>
          <w:trHeight w:val="413" w:hRule="exact"/>
        </w:trPr>
        <w:tc>
          <w:tcPr>
            <w:tcW w:w="410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7" w:after="110" w:line="206" w:lineRule="exact"/>
              <w:ind w:right="0" w:left="110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Cambiamenti nel settore merceologico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  <w:tr>
        <w:trPr>
          <w:trHeight w:val="480" w:hRule="exact"/>
        </w:trPr>
        <w:tc>
          <w:tcPr>
            <w:tcW w:w="410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8" w:line="220" w:lineRule="exact"/>
              <w:ind w:right="180" w:left="108" w:firstLine="0"/>
              <w:jc w:val="both"/>
              <w:textAlignment w:val="baseline"/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Cariche con potere di gestione e di rappresentanza (es. R.L, membri CdA ...)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  <w:tr>
        <w:trPr>
          <w:trHeight w:val="413" w:hRule="exact"/>
        </w:trPr>
        <w:tc>
          <w:tcPr>
            <w:tcW w:w="410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4" w:after="110" w:line="209" w:lineRule="exact"/>
              <w:ind w:right="0" w:left="110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Operazioni societarie</w:t>
            </w: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superscript"/>
                <w:lang w:val="it-IT"/>
              </w:rPr>
              <w:t xml:space="preserve">1</w:t>
            </w: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2"/>
                <w:vertAlign w:val="baseline"/>
                <w:lang w:val="it-IT"/>
              </w:rPr>
              <w:t xml:space="preserve">
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7" w:after="110" w:line="206" w:lineRule="exact"/>
              <w:ind w:right="0" w:left="100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Acquisizioni, cessioni, fusioni, etc.</w:t>
            </w:r>
          </w:p>
        </w:tc>
      </w:tr>
      <w:tr>
        <w:trPr>
          <w:trHeight w:val="460" w:hRule="exact"/>
        </w:trPr>
        <w:tc>
          <w:tcPr>
            <w:tcW w:w="410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6" w:lineRule="exact"/>
              <w:ind w:right="0" w:left="144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Assetto proprietario</w:t>
            </w:r>
          </w:p>
          <w:p>
            <w:pPr>
              <w:pageBreakBefore w:val="false"/>
              <w:spacing w:before="40" w:after="13" w:line="186" w:lineRule="exact"/>
              <w:ind w:right="0" w:left="144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585858"/>
                <w:spacing w:val="0"/>
                <w:w w:val="100"/>
                <w:sz w:val="17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585858"/>
                <w:spacing w:val="0"/>
                <w:w w:val="100"/>
                <w:sz w:val="17"/>
                <w:vertAlign w:val="baseline"/>
                <w:lang w:val="it-IT"/>
              </w:rPr>
              <w:t xml:space="preserve">Soci (Holding / Persone/Fondi/ Fiduciari/ecc.)</w:t>
            </w: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2"/>
                <w:vertAlign w:val="baseline"/>
                <w:lang w:val="it-IT"/>
              </w:rPr>
              <w:t xml:space="preserve"> 2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6" w:after="138" w:line="206" w:lineRule="exact"/>
              <w:ind w:right="0" w:left="100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Cambiamenti di quote rilevanti</w:t>
            </w:r>
          </w:p>
        </w:tc>
      </w:tr>
    </w:tbl>
    <w:p>
      <w:pPr>
        <w:spacing w:before="0" w:after="530" w:line="20" w:lineRule="exact"/>
      </w:pPr>
    </w:p>
    <w:p>
      <w:pPr>
        <w:pageBreakBefore w:val="false"/>
        <w:spacing w:before="3" w:after="0" w:line="350" w:lineRule="exact"/>
        <w:ind w:right="0" w:left="72" w:firstLine="0"/>
        <w:jc w:val="left"/>
        <w:textAlignment w:val="baseline"/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  <w:t xml:space="preserve">2. Conformità (art. 39 lett. a CDU e art. 24 del RE)</w:t>
      </w:r>
    </w:p>
    <w:p>
      <w:pPr>
        <w:pageBreakBefore w:val="false"/>
        <w:spacing w:before="252" w:after="0" w:line="266" w:lineRule="exact"/>
        <w:ind w:right="0" w:left="72" w:firstLine="0"/>
        <w:jc w:val="left"/>
        <w:textAlignment w:val="baseline"/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4"/>
          <w:vertAlign w:val="baseline"/>
          <w:lang w:val="it-IT"/>
        </w:rPr>
        <w:t xml:space="preserve">2.a Reati gravi.</w:t>
      </w:r>
    </w:p>
    <w:p>
      <w:pPr>
        <w:pageBreakBefore w:val="false"/>
        <w:spacing w:before="60" w:after="0" w:line="224" w:lineRule="exact"/>
        <w:ind w:right="0" w:left="72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Riportare </w:t>
      </w: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solo i cambiamenti rilevanti e/o le nuove informazioni di cui l’AEO è a conoscenza </w:t>
      </w: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riguardo: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432"/>
        </w:tabs>
        <w:spacing w:before="25" w:after="219" w:line="259" w:lineRule="exact"/>
        <w:ind w:right="288" w:left="432" w:hanging="360"/>
        <w:jc w:val="both"/>
        <w:textAlignment w:val="baseline"/>
        <w:rPr>
          <w:rFonts w:ascii="Garamond" w:hAnsi="Garamond" w:eastAsia="Garamond"/>
          <w:strike w:val="false"/>
          <w:color w:val="000000"/>
          <w:spacing w:val="1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1"/>
          <w:w w:val="100"/>
          <w:sz w:val="20"/>
          <w:vertAlign w:val="baseline"/>
          <w:lang w:val="it-IT"/>
        </w:rPr>
        <w:t xml:space="preserve">Condanne, e/o procedimenti penali e/o indagini relative a reati commessi dai soggetti elencati dall’art. 24 RE relativamente all’attività economica dell’operatore autorizzato. Sanzioni amministrative dipendenti da reato dell’AEO.</w:t>
      </w:r>
    </w:p>
    <w:p>
      <w:pPr>
        <w:pageBreakBefore w:val="false"/>
        <w:spacing w:before="3" w:after="0" w:line="266" w:lineRule="exact"/>
        <w:ind w:right="36" w:left="72" w:firstLine="0"/>
        <w:jc w:val="left"/>
        <w:textAlignment w:val="baseline"/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4"/>
          <w:vertAlign w:val="baseline"/>
          <w:lang w:val="it-IT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86pt;height:106.8pt;z-index:-999;margin-left:59.4pt;margin-top:538.5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484.3pt;height:79.7pt;z-index:-998;margin-left:60.25pt;margin-top:538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150610" cy="1012190"/>
                        <wp:docPr name="Picture" id="3"/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Picture"/>
                                <pic:cNvPicPr preferRelativeResize="false"/>
                              </pic:nvPicPr>
                              <pic:blipFill>
                                <a:blip r:embed="p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0610" cy="101219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3.35pt;height:10.4pt;z-index:-997;margin-left:66.25pt;margin-top:54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4" w:line="201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-13"/>
                      <w:w w:val="100"/>
                      <w:sz w:val="18"/>
                      <w:vertAlign w:val="baseline"/>
                      <w:lang w:val="it-IT"/>
                    </w:rPr>
                  </w:pPr>
                  <w:r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-13"/>
                      <w:w w:val="100"/>
                      <w:sz w:val="18"/>
                      <w:vertAlign w:val="baseline"/>
                      <w:lang w:val="it-IT"/>
                    </w:rPr>
                    <w:t xml:space="preserve">Soggetto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32.45pt;height:10.1pt;z-index:-996;margin-left:145.55pt;margin-top:54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191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13"/>
                      <w:w w:val="100"/>
                      <w:sz w:val="18"/>
                      <w:vertAlign w:val="baseline"/>
                      <w:lang w:val="it-IT"/>
                    </w:rPr>
                  </w:pPr>
                  <w:r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13"/>
                      <w:w w:val="100"/>
                      <w:sz w:val="18"/>
                      <w:vertAlign w:val="baseline"/>
                      <w:lang w:val="it-IT"/>
                    </w:rPr>
                    <w:t xml:space="preserve">Ruolo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84.05pt;height:10.4pt;z-index:-995;margin-left:219.85pt;margin-top:54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4" w:line="201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-3"/>
                      <w:w w:val="100"/>
                      <w:sz w:val="18"/>
                      <w:vertAlign w:val="baseline"/>
                      <w:lang w:val="it-IT"/>
                    </w:rPr>
                  </w:pPr>
                  <w:r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-3"/>
                      <w:w w:val="100"/>
                      <w:sz w:val="18"/>
                      <w:vertAlign w:val="baseline"/>
                      <w:lang w:val="it-IT"/>
                    </w:rPr>
                    <w:t xml:space="preserve">Condanne e/o procedimenti penali e/o indagini</w:t>
                  </w:r>
                </w:p>
              </w:txbxContent>
            </v:textbox>
          </v:shape>
        </w:pict>
      </w: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4"/>
          <w:vertAlign w:val="baseline"/>
          <w:lang w:val="it-IT"/>
        </w:rPr>
        <w:t xml:space="preserve">2.b Violazioni gravi o ripetute della normativa doganale o fiscale*</w:t>
      </w:r>
    </w:p>
    <w:p>
      <w:pPr>
        <w:pageBreakBefore w:val="false"/>
        <w:spacing w:before="2" w:after="589" w:line="259" w:lineRule="exact"/>
        <w:ind w:right="288" w:left="72" w:firstLine="0"/>
        <w:jc w:val="both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Riportare </w:t>
      </w: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solo i cambiamenti (condanne, vittorie gradi di giudizio) e/o le nuove informazioni rilevanti di cui l’AEO è a conoscenza </w:t>
      </w: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riguardo le infrazioni gravi o ripetute della normativa doganale o fiscale, commesse dai soggetti elencati dall’art. 24 RE.</w:t>
      </w:r>
    </w:p>
    <w:p>
      <w:pPr>
        <w:pageBreakBefore w:val="false"/>
        <w:spacing w:before="122" w:after="0" w:line="180" w:lineRule="exact"/>
        <w:ind w:right="1008" w:left="72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-4"/>
          <w:w w:val="100"/>
          <w:sz w:val="10"/>
          <w:vertAlign w:val="baseline"/>
          <w:lang w:val="it-IT"/>
        </w:rPr>
      </w:pPr>
      <w:r>
        <w:pict>
          <v:line strokeweight="0.95pt" strokecolor="#000000" from="66pt,728.4pt" to="210.3pt,728.4pt" style="position:absolute;mso-position-horizontal-relative:page;mso-position-vertical-relative:page;">
            <v:stroke dashstyle="solid"/>
          </v:line>
        </w:pict>
      </w:r>
      <w:r>
        <w:rPr>
          <w:rFonts w:ascii="Garamond" w:hAnsi="Garamond" w:eastAsia="Garamond"/>
          <w:strike w:val="false"/>
          <w:color w:val="000000"/>
          <w:spacing w:val="-4"/>
          <w:w w:val="100"/>
          <w:sz w:val="10"/>
          <w:vertAlign w:val="baseline"/>
          <w:lang w:val="it-IT"/>
        </w:rPr>
        <w:t xml:space="preserve">1 </w:t>
      </w:r>
      <w:r>
        <w:rPr>
          <w:rFonts w:ascii="Garamond" w:hAnsi="Garamond" w:eastAsia="Garamond"/>
          <w:strike w:val="false"/>
          <w:color w:val="000000"/>
          <w:spacing w:val="-4"/>
          <w:w w:val="100"/>
          <w:sz w:val="17"/>
          <w:vertAlign w:val="baseline"/>
          <w:lang w:val="it-IT"/>
        </w:rPr>
        <w:t xml:space="preserve">Riportare ingresso/uscita di soci rilevanti (dettagli nella sezione sottostante con indicazione delle quote%), aumenti di capitale, cessioni di business/rami di azienda, acquisizione di business/aziende/rami di aziende, consolidamento/deconsolidamento in gruppi/holding, etc.</w:t>
      </w:r>
    </w:p>
    <w:p>
      <w:pPr>
        <w:pageBreakBefore w:val="false"/>
        <w:spacing w:before="0" w:after="574" w:line="182" w:lineRule="exact"/>
        <w:ind w:right="36" w:left="72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-3"/>
          <w:w w:val="100"/>
          <w:sz w:val="1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-3"/>
          <w:w w:val="100"/>
          <w:sz w:val="10"/>
          <w:vertAlign w:val="baseline"/>
          <w:lang w:val="it-IT"/>
        </w:rPr>
        <w:t xml:space="preserve">2 </w:t>
      </w:r>
      <w:r>
        <w:rPr>
          <w:rFonts w:ascii="Garamond" w:hAnsi="Garamond" w:eastAsia="Garamond"/>
          <w:strike w:val="false"/>
          <w:color w:val="000000"/>
          <w:spacing w:val="-3"/>
          <w:w w:val="100"/>
          <w:sz w:val="17"/>
          <w:vertAlign w:val="baseline"/>
          <w:lang w:val="it-IT"/>
        </w:rPr>
        <w:t xml:space="preserve">Riportare l’elenco dei soci in ordine decrescente di partecipazione (con diritto di voto nelle società di capitali).</w:t>
      </w:r>
    </w:p>
    <w:p>
      <w:pPr>
        <w:pageBreakBefore w:val="false"/>
        <w:spacing w:before="0" w:after="0" w:line="196" w:lineRule="exact"/>
        <w:ind w:right="36" w:left="72" w:firstLine="0"/>
        <w:jc w:val="righ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it-IT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it-IT"/>
        </w:rPr>
        <w:t xml:space="preserve">2</w:t>
      </w:r>
    </w:p>
    <w:p>
      <w:pPr>
        <w:sectPr>
          <w:type w:val="nextPage"/>
          <w:pgSz w:w="11909" w:h="16838" w:orient="portrait"/>
          <w:pgMar w:bottom="442" w:top="700" w:right="1001" w:left="1188" w:header="720" w:footer="720"/>
          <w:titlePg w:val="false"/>
          <w:textDirection w:val="lrTb"/>
        </w:sectPr>
      </w:pPr>
    </w:p>
    <w:p>
      <w:pPr>
        <w:pageBreakBefore w:val="false"/>
        <w:spacing w:before="13" w:after="334" w:line="205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strike w:val="false"/>
          <w:color w:val="003399"/>
          <w:spacing w:val="10"/>
          <w:w w:val="100"/>
          <w:sz w:val="18"/>
          <w:vertAlign w:val="baseline"/>
          <w:lang w:val="it-IT"/>
        </w:rPr>
      </w:pPr>
      <w:r>
        <w:rPr>
          <w:rFonts w:ascii="Arial" w:hAnsi="Arial" w:eastAsia="Arial"/>
          <w:b w:val="true"/>
          <w:strike w:val="false"/>
          <w:color w:val="003399"/>
          <w:spacing w:val="10"/>
          <w:w w:val="100"/>
          <w:sz w:val="18"/>
          <w:vertAlign w:val="baseline"/>
          <w:lang w:val="it-IT"/>
        </w:rPr>
        <w:t xml:space="preserve">AUTOMONITORAGGIO</w:t>
      </w:r>
    </w:p>
    <w:p>
      <w:pPr>
        <w:spacing w:before="13" w:after="334" w:line="205" w:lineRule="exact"/>
        <w:sectPr>
          <w:type w:val="nextPage"/>
          <w:pgSz w:w="11909" w:h="16838" w:orient="portrait"/>
          <w:pgMar w:bottom="442" w:top="700" w:right="8349" w:left="1320" w:header="720" w:footer="720"/>
          <w:titlePg w:val="false"/>
          <w:textDirection w:val="lrTb"/>
        </w:sectPr>
      </w:pPr>
    </w:p>
    <w:p>
      <w:pPr>
        <w:pageBreakBefore w:val="false"/>
        <w:spacing w:before="1323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it-IT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484.3pt;height:79.65pt;z-index:-994;margin-left:1.5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150610" cy="1011555"/>
                        <wp:docPr name="Picture" id="4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Picture"/>
                                <pic:cNvPicPr preferRelativeResize="false"/>
                              </pic:nvPicPr>
                              <pic:blipFill>
                                <a:blip r:embed="p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0610" cy="101155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33.35pt;height:10.4pt;z-index:-993;margin-left:7.55pt;margin-top:4.9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196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-13"/>
                      <w:w w:val="100"/>
                      <w:sz w:val="18"/>
                      <w:vertAlign w:val="baseline"/>
                      <w:lang w:val="it-IT"/>
                    </w:rPr>
                  </w:pPr>
                  <w:r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-13"/>
                      <w:w w:val="100"/>
                      <w:sz w:val="18"/>
                      <w:vertAlign w:val="baseline"/>
                      <w:lang w:val="it-IT"/>
                    </w:rPr>
                    <w:t xml:space="preserve">Soggetto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32.45pt;height:10.1pt;z-index:-992;margin-left:86.85pt;margin-top:4.9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196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13"/>
                      <w:w w:val="100"/>
                      <w:sz w:val="18"/>
                      <w:vertAlign w:val="baseline"/>
                      <w:lang w:val="it-IT"/>
                    </w:rPr>
                  </w:pPr>
                  <w:r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13"/>
                      <w:w w:val="100"/>
                      <w:sz w:val="18"/>
                      <w:vertAlign w:val="baseline"/>
                      <w:lang w:val="it-IT"/>
                    </w:rPr>
                    <w:t xml:space="preserve">Ruolo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173.75pt;height:10.4pt;z-index:-991;margin-left:160.65pt;margin-top:4.9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196" w:lineRule="exact"/>
                    <w:ind w:right="0" w:left="0" w:firstLine="0"/>
                    <w:jc w:val="center"/>
                    <w:textAlignment w:val="baseline"/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-2"/>
                      <w:w w:val="100"/>
                      <w:sz w:val="18"/>
                      <w:vertAlign w:val="baseline"/>
                      <w:lang w:val="it-IT"/>
                    </w:rPr>
                  </w:pPr>
                  <w:r>
                    <w:rPr>
                      <w:rFonts w:ascii="Garamond" w:hAnsi="Garamond" w:eastAsia="Garamond"/>
                      <w:b w:val="true"/>
                      <w:strike w:val="false"/>
                      <w:color w:val="003399"/>
                      <w:spacing w:val="-2"/>
                      <w:w w:val="100"/>
                      <w:sz w:val="18"/>
                      <w:vertAlign w:val="baseline"/>
                      <w:lang w:val="it-IT"/>
                    </w:rPr>
                    <w:t xml:space="preserve">Accertamenti e/o contenziosi e/o irregolarità</w:t>
                  </w:r>
                </w:p>
              </w:txbxContent>
            </v:textbox>
          </v:shape>
        </w:pict>
      </w:r>
    </w:p>
    <w:p>
      <w:pPr>
        <w:sectPr>
          <w:type w:val="continuous"/>
          <w:pgSz w:w="11909" w:h="16838" w:orient="portrait"/>
          <w:pgMar w:bottom="442" w:top="700" w:right="1015" w:left="1174" w:header="720" w:footer="720"/>
          <w:titlePg w:val="false"/>
          <w:textDirection w:val="lrTb"/>
        </w:sectPr>
      </w:pPr>
    </w:p>
    <w:p>
      <w:pPr>
        <w:pageBreakBefore w:val="false"/>
        <w:spacing w:before="0" w:after="0" w:line="192" w:lineRule="exact"/>
        <w:ind w:right="360" w:left="0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17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17"/>
          <w:vertAlign w:val="baseline"/>
          <w:lang w:val="it-IT"/>
        </w:rPr>
        <w:t xml:space="preserve">* violazioni gravi o ripetute della normativa doganale o fiscale commesse nei tre anni precedenti dai soggetti di cui all’articolo 24 RE n. 2447/2015, con specifica indicazione dell’attività economica cui le singole fattispecie sono riferite</w:t>
      </w:r>
    </w:p>
    <w:p>
      <w:pPr>
        <w:pageBreakBefore w:val="false"/>
        <w:spacing w:before="499" w:after="0" w:line="360" w:lineRule="exact"/>
        <w:ind w:right="144" w:left="504" w:hanging="360"/>
        <w:jc w:val="left"/>
        <w:textAlignment w:val="baseline"/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  <w:t xml:space="preserve">3. Sistema efficace di gestione delle scritture commerciali e relative ai trasporti (art. 39 lett. b) CDU e art. 25 del RE)</w:t>
      </w:r>
    </w:p>
    <w:p>
      <w:pPr>
        <w:pageBreakBefore w:val="false"/>
        <w:spacing w:before="65" w:after="0" w:line="224" w:lineRule="exact"/>
        <w:ind w:right="0" w:left="144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Riportare </w:t>
      </w: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solo i fatti e cambiamenti rilevanti ai fini del monitoraggio dell’autorizzazione AEO</w:t>
      </w: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504"/>
        </w:tabs>
        <w:spacing w:before="244" w:after="196" w:line="245" w:lineRule="exact"/>
        <w:ind w:right="0" w:left="144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Traccia di audit / Sistema di controllo interno / Sicurezza dati ed informazioni</w:t>
      </w:r>
    </w:p>
    <w:tbl>
      <w:tblPr>
        <w:jc w:val="left"/>
        <w:tblInd w:w="31" w:type="dxa"/>
        <w:tblLayout w:type="fixed"/>
        <w:tblCellMar>
          <w:left w:w="0" w:type="dxa"/>
          <w:right w:w="0" w:type="dxa"/>
        </w:tblCellMar>
      </w:tblPr>
      <w:tblGrid>
        <w:gridCol w:w="4085"/>
        <w:gridCol w:w="5601"/>
      </w:tblGrid>
      <w:tr>
        <w:trPr>
          <w:trHeight w:val="422" w:hRule="exact"/>
        </w:trPr>
        <w:tc>
          <w:tcPr>
            <w:tcW w:w="9717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C5D9F0" w:fill="C5D9F0"/>
            <w:textDirection w:val="lrTb"/>
            <w:vAlign w:val="center"/>
          </w:tcPr>
          <w:p>
            <w:pPr>
              <w:pageBreakBefore w:val="false"/>
              <w:spacing w:before="97" w:after="116" w:line="200" w:lineRule="exact"/>
              <w:ind w:right="0" w:left="110" w:firstLine="0"/>
              <w:jc w:val="left"/>
              <w:textAlignment w:val="baseline"/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Traccia di audit</w:t>
            </w:r>
          </w:p>
        </w:tc>
      </w:tr>
      <w:tr>
        <w:trPr>
          <w:trHeight w:val="1474" w:hRule="exact"/>
        </w:trPr>
        <w:tc>
          <w:tcPr>
            <w:tcW w:w="411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12" w:after="0" w:line="201" w:lineRule="exact"/>
              <w:ind w:right="0" w:left="144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Es.: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32" w:after="0" w:line="231" w:lineRule="exact"/>
              <w:ind w:right="144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Malfunzionamenti nel sistema contabile, logistico o doganale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33" w:after="0" w:line="231" w:lineRule="exact"/>
              <w:ind w:right="0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Conti non più certificati da revisore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24" w:after="134" w:line="231" w:lineRule="exact"/>
              <w:ind w:right="0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Incapacità di distinguere tra merci UE/extra UE</w:t>
            </w:r>
          </w:p>
        </w:tc>
        <w:tc>
          <w:tcPr>
            <w:tcW w:w="97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  <w:tr>
        <w:trPr>
          <w:trHeight w:val="413" w:hRule="exact"/>
        </w:trPr>
        <w:tc>
          <w:tcPr>
            <w:tcW w:w="9717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C5D9F0" w:fill="C5D9F0"/>
            <w:textDirection w:val="lrTb"/>
            <w:vAlign w:val="center"/>
          </w:tcPr>
          <w:p>
            <w:pPr>
              <w:pageBreakBefore w:val="false"/>
              <w:spacing w:before="92" w:after="111" w:line="200" w:lineRule="exact"/>
              <w:ind w:right="0" w:left="110" w:firstLine="0"/>
              <w:jc w:val="left"/>
              <w:textAlignment w:val="baseline"/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Sistema di controllo</w:t>
            </w:r>
          </w:p>
        </w:tc>
      </w:tr>
      <w:tr>
        <w:trPr>
          <w:trHeight w:val="1747" w:hRule="exact"/>
        </w:trPr>
        <w:tc>
          <w:tcPr>
            <w:tcW w:w="411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1" w:lineRule="exact"/>
              <w:ind w:right="0" w:left="144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Es.: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28" w:after="0" w:line="231" w:lineRule="exact"/>
              <w:ind w:right="540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Riduzione/incapacità di effettuare controlli interni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32" w:after="0" w:line="231" w:lineRule="exact"/>
              <w:ind w:right="396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Vulnerabilità emersa nel processo e sistemi di controllo interni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29" w:after="0" w:line="231" w:lineRule="exact"/>
              <w:ind w:right="0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Elementi di inefficacia nei controlli interni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23" w:after="29" w:line="231" w:lineRule="exact"/>
              <w:ind w:right="0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Errori rilevati</w:t>
            </w:r>
          </w:p>
        </w:tc>
        <w:tc>
          <w:tcPr>
            <w:tcW w:w="97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  <w:tr>
        <w:trPr>
          <w:trHeight w:val="413" w:hRule="exact"/>
        </w:trPr>
        <w:tc>
          <w:tcPr>
            <w:tcW w:w="9717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C5D9F0" w:fill="C5D9F0"/>
            <w:textDirection w:val="lrTb"/>
            <w:vAlign w:val="center"/>
          </w:tcPr>
          <w:p>
            <w:pPr>
              <w:pageBreakBefore w:val="false"/>
              <w:spacing w:before="92" w:after="111" w:line="200" w:lineRule="exact"/>
              <w:ind w:right="0" w:left="110" w:firstLine="0"/>
              <w:jc w:val="left"/>
              <w:textAlignment w:val="baseline"/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Sicurezza dati ed informazioni</w:t>
            </w:r>
          </w:p>
        </w:tc>
      </w:tr>
      <w:tr>
        <w:trPr>
          <w:trHeight w:val="2016" w:hRule="exact"/>
        </w:trPr>
        <w:tc>
          <w:tcPr>
            <w:tcW w:w="411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1" w:lineRule="exact"/>
              <w:ind w:right="0" w:left="144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Es.: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33" w:after="0" w:line="231" w:lineRule="exact"/>
              <w:ind w:right="720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Modifica agli archivi, server, data storage (informatici/cartacei)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23" w:after="0" w:line="231" w:lineRule="exact"/>
              <w:ind w:right="0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Perdita di dati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28" w:after="0" w:line="236" w:lineRule="exact"/>
              <w:ind w:right="504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Perdita/distruzione archivi (informatici e/o cartacei)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28" w:after="0" w:line="231" w:lineRule="exact"/>
              <w:ind w:right="0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Perdita di sistemi di backup</w:t>
            </w:r>
          </w:p>
          <w:p>
            <w:pPr>
              <w:pageBreakBefore w:val="false"/>
              <w:numPr>
                <w:ilvl w:val="0"/>
                <w:numId w:val="2"/>
              </w:numPr>
              <w:tabs>
                <w:tab w:val="clear" w:pos="360"/>
                <w:tab w:val="left" w:pos="504"/>
              </w:tabs>
              <w:spacing w:before="18" w:after="43" w:line="231" w:lineRule="exact"/>
              <w:ind w:right="0" w:left="504" w:hanging="36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Intrusione nei sistemi informativi</w:t>
            </w:r>
          </w:p>
        </w:tc>
        <w:tc>
          <w:tcPr>
            <w:tcW w:w="9717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</w:tbl>
    <w:p>
      <w:pPr>
        <w:spacing w:before="0" w:after="3825" w:line="20" w:lineRule="exact"/>
      </w:pPr>
    </w:p>
    <w:p>
      <w:pPr>
        <w:spacing w:before="0" w:after="3825" w:line="20" w:lineRule="exact"/>
        <w:sectPr>
          <w:type w:val="continuous"/>
          <w:pgSz w:w="11909" w:h="16838" w:orient="portrait"/>
          <w:pgMar w:bottom="442" w:top="700" w:right="1015" w:left="1174" w:header="720" w:footer="720"/>
          <w:titlePg w:val="false"/>
          <w:textDirection w:val="lrTb"/>
        </w:sectPr>
      </w:pPr>
    </w:p>
    <w:p>
      <w:pPr>
        <w:pageBreakBefore w:val="false"/>
        <w:spacing w:before="2" w:after="0" w:line="204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it-IT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it-IT"/>
        </w:rPr>
        <w:t xml:space="preserve">3</w:t>
      </w:r>
    </w:p>
    <w:p>
      <w:pPr>
        <w:sectPr>
          <w:type w:val="continuous"/>
          <w:pgSz w:w="11909" w:h="16838" w:orient="portrait"/>
          <w:pgMar w:bottom="442" w:top="700" w:right="1061" w:left="10608" w:header="720" w:footer="720"/>
          <w:titlePg w:val="false"/>
          <w:textDirection w:val="lrTb"/>
        </w:sectPr>
      </w:pPr>
    </w:p>
    <w:p>
      <w:pPr>
        <w:pageBreakBefore w:val="false"/>
        <w:spacing w:before="13" w:after="0" w:line="205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strike w:val="false"/>
          <w:color w:val="003399"/>
          <w:spacing w:val="15"/>
          <w:w w:val="100"/>
          <w:sz w:val="18"/>
          <w:vertAlign w:val="baseline"/>
          <w:lang w:val="it-IT"/>
        </w:rPr>
      </w:pPr>
      <w:r>
        <w:rPr>
          <w:rFonts w:ascii="Arial" w:hAnsi="Arial" w:eastAsia="Arial"/>
          <w:b w:val="true"/>
          <w:strike w:val="false"/>
          <w:color w:val="003399"/>
          <w:spacing w:val="15"/>
          <w:w w:val="100"/>
          <w:sz w:val="18"/>
          <w:vertAlign w:val="baseline"/>
          <w:lang w:val="it-IT"/>
        </w:rPr>
        <w:t xml:space="preserve">AUTOMONITORAGGIO</w:t>
      </w:r>
    </w:p>
    <w:p>
      <w:pPr>
        <w:pageBreakBefore w:val="false"/>
        <w:spacing w:before="340" w:after="0" w:line="351" w:lineRule="exact"/>
        <w:ind w:right="0" w:left="72" w:firstLine="0"/>
        <w:jc w:val="left"/>
        <w:textAlignment w:val="baseline"/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  <w:t xml:space="preserve">4. Solvibilità finanziaria (art. 39 lett. c) CDU e art. 26 del RE)</w:t>
      </w:r>
    </w:p>
    <w:p>
      <w:pPr>
        <w:pageBreakBefore w:val="false"/>
        <w:spacing w:before="73" w:after="0" w:line="224" w:lineRule="exact"/>
        <w:ind w:right="0" w:left="72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Riportare </w:t>
      </w: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solo i fatti e i cambiamenti rilevanti ai fini del monitoraggio dell’autorizzazione AEO, riguardanti</w:t>
      </w: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:</w:t>
      </w:r>
    </w:p>
    <w:p>
      <w:pPr>
        <w:pageBreakBefore w:val="false"/>
        <w:numPr>
          <w:ilvl w:val="0"/>
          <w:numId w:val="3"/>
        </w:numPr>
        <w:tabs>
          <w:tab w:val="clear" w:pos="432"/>
          <w:tab w:val="left" w:pos="504"/>
        </w:tabs>
        <w:spacing w:before="230" w:after="201" w:line="257" w:lineRule="exact"/>
        <w:ind w:right="288" w:left="504" w:hanging="432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procedure di insolvenza o concorsuali / riduzione della solvibilità dell’AEO (</w:t>
      </w: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in particolare </w:t>
      </w: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riguardo le obbligazioni di dazi, diritti imposte e tasse) / variazioni importanti nei risultati economici e finanziari.</w:t>
      </w:r>
    </w:p>
    <w:tbl>
      <w:tblPr>
        <w:jc w:val="left"/>
        <w:tblInd w:w="17" w:type="dxa"/>
        <w:tblLayout w:type="fixed"/>
        <w:tblCellMar>
          <w:left w:w="0" w:type="dxa"/>
          <w:right w:w="0" w:type="dxa"/>
        </w:tblCellMar>
      </w:tblPr>
      <w:tblGrid>
        <w:gridCol w:w="4085"/>
        <w:gridCol w:w="5601"/>
      </w:tblGrid>
      <w:tr>
        <w:trPr>
          <w:trHeight w:val="422" w:hRule="exact"/>
        </w:trPr>
        <w:tc>
          <w:tcPr>
            <w:tcW w:w="970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C5D9F0" w:fill="C5D9F0"/>
            <w:textDirection w:val="lrTb"/>
            <w:vAlign w:val="center"/>
          </w:tcPr>
          <w:p>
            <w:pPr>
              <w:pageBreakBefore w:val="false"/>
              <w:spacing w:before="101" w:after="115" w:line="201" w:lineRule="exact"/>
              <w:ind w:right="0" w:left="115" w:firstLine="0"/>
              <w:jc w:val="left"/>
              <w:textAlignment w:val="baseline"/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Procedure di insolvenza / elementi propedeutici a procedure concorsuali</w:t>
            </w:r>
          </w:p>
        </w:tc>
      </w:tr>
      <w:tr>
        <w:trPr>
          <w:trHeight w:val="1748" w:hRule="exact"/>
        </w:trPr>
        <w:tc>
          <w:tcPr>
            <w:tcW w:w="410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5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Es:</w:t>
            </w:r>
          </w:p>
          <w:p>
            <w:pPr>
              <w:pageBreakBefore w:val="false"/>
              <w:numPr>
                <w:ilvl w:val="0"/>
                <w:numId w:val="4"/>
              </w:numPr>
              <w:tabs>
                <w:tab w:val="clear" w:pos="216"/>
                <w:tab w:val="left" w:pos="504"/>
              </w:tabs>
              <w:spacing w:before="23" w:after="0" w:line="233" w:lineRule="exact"/>
              <w:ind w:right="648" w:left="504" w:hanging="216"/>
              <w:jc w:val="both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Avvio procedura di insolvenza da parte di creditori</w:t>
            </w:r>
          </w:p>
          <w:p>
            <w:pPr>
              <w:pageBreakBefore w:val="false"/>
              <w:numPr>
                <w:ilvl w:val="0"/>
                <w:numId w:val="4"/>
              </w:numPr>
              <w:tabs>
                <w:tab w:val="clear" w:pos="216"/>
                <w:tab w:val="left" w:pos="504"/>
              </w:tabs>
              <w:spacing w:before="30" w:after="0" w:line="233" w:lineRule="exact"/>
              <w:ind w:right="648" w:left="504" w:hanging="216"/>
              <w:jc w:val="both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Avvio procedure concorsuali da parte del management dell’AEO</w:t>
            </w:r>
          </w:p>
          <w:p>
            <w:pPr>
              <w:pageBreakBefore w:val="false"/>
              <w:numPr>
                <w:ilvl w:val="0"/>
                <w:numId w:val="5"/>
              </w:numPr>
              <w:tabs>
                <w:tab w:val="clear" w:pos="288"/>
                <w:tab w:val="left" w:pos="504"/>
              </w:tabs>
              <w:spacing w:before="26" w:after="0" w:line="233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Indagini di inquirenti con impatto sulla solvibilità</w:t>
            </w:r>
          </w:p>
          <w:p>
            <w:pPr>
              <w:pageBreakBefore w:val="false"/>
              <w:numPr>
                <w:ilvl w:val="0"/>
                <w:numId w:val="5"/>
              </w:numPr>
              <w:tabs>
                <w:tab w:val="clear" w:pos="288"/>
                <w:tab w:val="left" w:pos="504"/>
              </w:tabs>
              <w:spacing w:before="25" w:after="25" w:line="233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Richiesta di concordato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  <w:tr>
        <w:trPr>
          <w:trHeight w:val="412" w:hRule="exact"/>
        </w:trPr>
        <w:tc>
          <w:tcPr>
            <w:tcW w:w="970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C5D9F0" w:fill="C5D9F0"/>
            <w:textDirection w:val="lrTb"/>
            <w:vAlign w:val="center"/>
          </w:tcPr>
          <w:p>
            <w:pPr>
              <w:pageBreakBefore w:val="false"/>
              <w:spacing w:before="91" w:after="118" w:line="198" w:lineRule="exact"/>
              <w:ind w:right="0" w:left="115" w:firstLine="0"/>
              <w:jc w:val="left"/>
              <w:textAlignment w:val="baseline"/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Solvibilità</w:t>
            </w:r>
          </w:p>
        </w:tc>
      </w:tr>
      <w:tr>
        <w:trPr>
          <w:trHeight w:val="586" w:hRule="exact"/>
        </w:trPr>
        <w:tc>
          <w:tcPr>
            <w:tcW w:w="410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  <w:tr>
        <w:trPr>
          <w:trHeight w:val="408" w:hRule="exact"/>
        </w:trPr>
        <w:tc>
          <w:tcPr>
            <w:tcW w:w="970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C5D9F0" w:fill="C5D9F0"/>
            <w:textDirection w:val="lrTb"/>
            <w:vAlign w:val="center"/>
          </w:tcPr>
          <w:p>
            <w:pPr>
              <w:pageBreakBefore w:val="false"/>
              <w:spacing w:before="87" w:after="118" w:line="198" w:lineRule="exact"/>
              <w:ind w:right="0" w:left="115" w:firstLine="0"/>
              <w:jc w:val="left"/>
              <w:textAlignment w:val="baseline"/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Risultati economico finanziari e solidità</w:t>
            </w:r>
          </w:p>
        </w:tc>
      </w:tr>
      <w:tr>
        <w:trPr>
          <w:trHeight w:val="595" w:hRule="exact"/>
        </w:trPr>
        <w:tc>
          <w:tcPr>
            <w:tcW w:w="410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</w:tbl>
    <w:p>
      <w:pPr>
        <w:spacing w:before="0" w:after="818" w:line="20" w:lineRule="exact"/>
      </w:pPr>
    </w:p>
    <w:p>
      <w:pPr>
        <w:pageBreakBefore w:val="false"/>
        <w:numPr>
          <w:ilvl w:val="0"/>
          <w:numId w:val="6"/>
        </w:numPr>
        <w:tabs>
          <w:tab w:val="clear" w:pos="432"/>
          <w:tab w:val="left" w:pos="504"/>
        </w:tabs>
        <w:spacing w:before="0" w:after="0" w:line="357" w:lineRule="exact"/>
        <w:ind w:right="504" w:left="504" w:hanging="432"/>
        <w:jc w:val="left"/>
        <w:textAlignment w:val="baseline"/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</w:pPr>
      <w:r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  <w:t xml:space="preserve">Standard pratici di competenza o qualifiche professionali (art. 39 lett. d) CDU e art. 27del RE)</w:t>
      </w:r>
    </w:p>
    <w:p>
      <w:pPr>
        <w:pageBreakBefore w:val="false"/>
        <w:spacing w:before="68" w:after="0" w:line="223" w:lineRule="exact"/>
        <w:ind w:right="0" w:left="72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Riportare </w:t>
      </w: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solo i fatti e cambiamenti rilevanti ai fini del monitoraggio dell’autorizzazione AEO.</w:t>
      </w:r>
    </w:p>
    <w:p>
      <w:pPr>
        <w:pageBreakBefore w:val="false"/>
        <w:spacing w:before="36" w:after="0" w:line="224" w:lineRule="exact"/>
        <w:ind w:right="0" w:left="72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8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8"/>
          <w:w w:val="100"/>
          <w:sz w:val="20"/>
          <w:vertAlign w:val="baseline"/>
          <w:lang w:val="it-IT"/>
        </w:rPr>
        <w:t xml:space="preserve">Es: (Modifica della persona responsabile per le questioni doganali o del soggetto al quale viene esternalizzata</w:t>
      </w:r>
    </w:p>
    <w:p>
      <w:pPr>
        <w:pageBreakBefore w:val="false"/>
        <w:spacing w:before="35" w:after="235" w:line="224" w:lineRule="exact"/>
        <w:ind w:right="0" w:left="72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l’operatività doganale</w:t>
      </w:r>
    </w:p>
    <w:p>
      <w:pPr>
        <w:pageBreakBefore w:val="false"/>
        <w:numPr>
          <w:ilvl w:val="0"/>
          <w:numId w:val="7"/>
        </w:numPr>
        <w:tabs>
          <w:tab w:val="clear" w:pos="432"/>
          <w:tab w:val="left" w:pos="504"/>
        </w:tabs>
        <w:spacing w:before="3" w:after="0" w:line="355" w:lineRule="exact"/>
        <w:ind w:right="0" w:left="504" w:hanging="432"/>
        <w:jc w:val="left"/>
        <w:textAlignment w:val="baseline"/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</w:pP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486pt;height:53.15pt;z-index:-990;margin-left:59.4pt;margin-top:482.6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205.1pt;height:29.05pt;z-index:-989;margin-left:59.4pt;margin-top:482.6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000080" w:val="single"/>
                      <w:left w:sz="7" w:space="0" w:color="000080" w:val="single"/>
                      <w:bottom w:sz="7" w:space="0" w:color="000080" w:val="single"/>
                      <w:right w:sz="7" w:space="0" w:color="000080" w:val="single"/>
                    </w:pBdr>
                  </w:pP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279.6pt;height:29.05pt;z-index:-988;margin-left:264.5pt;margin-top:482.6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000080" w:val="single"/>
                      <w:left w:sz="7" w:space="0" w:color="000080" w:val="single"/>
                      <w:bottom w:sz="7" w:space="0" w:color="000080" w:val="single"/>
                      <w:right w:sz="7" w:space="0" w:color="000080" w:val="single"/>
                    </w:pBdr>
                  </w:pPr>
                </w:p>
              </w:txbxContent>
            </v:textbox>
          </v:shape>
        </w:pict>
      </w:r>
      <w:r>
        <w:rPr>
          <w:rFonts w:ascii="Garamond" w:hAnsi="Garamond" w:eastAsia="Garamond"/>
          <w:b w:val="true"/>
          <w:strike w:val="false"/>
          <w:color w:val="003399"/>
          <w:spacing w:val="0"/>
          <w:w w:val="100"/>
          <w:sz w:val="32"/>
          <w:vertAlign w:val="baseline"/>
          <w:lang w:val="it-IT"/>
        </w:rPr>
        <w:t xml:space="preserve">Standard pratici di sicurezza (art. 39 lett. e) CDU e art. 28 RE)</w:t>
      </w:r>
    </w:p>
    <w:p>
      <w:pPr>
        <w:pageBreakBefore w:val="false"/>
        <w:spacing w:before="28" w:after="206" w:line="257" w:lineRule="exact"/>
        <w:ind w:right="288" w:left="72" w:firstLine="0"/>
        <w:jc w:val="left"/>
        <w:textAlignment w:val="baseline"/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</w:pP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Riportare </w:t>
      </w:r>
      <w:r>
        <w:rPr>
          <w:rFonts w:ascii="Garamond" w:hAnsi="Garamond" w:eastAsia="Garamond"/>
          <w:b w:val="true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solo i fatti e cambiamenti rilevanti ai fini del monitoraggio dell’autorizzazione AEO, riguardanti </w:t>
      </w:r>
      <w:r>
        <w:rPr>
          <w:rFonts w:ascii="Garamond" w:hAnsi="Garamond" w:eastAsia="Garamond"/>
          <w:strike w:val="false"/>
          <w:color w:val="000000"/>
          <w:spacing w:val="0"/>
          <w:w w:val="100"/>
          <w:sz w:val="20"/>
          <w:vertAlign w:val="baseline"/>
          <w:lang w:val="it-IT"/>
        </w:rPr>
        <w:t xml:space="preserve">ad esempio i luoghi in cui si svolgono le operazioni doganali</w:t>
      </w:r>
    </w:p>
    <w:tbl>
      <w:tblPr>
        <w:jc w:val="left"/>
        <w:tblInd w:w="17" w:type="dxa"/>
        <w:tblLayout w:type="fixed"/>
        <w:tblCellMar>
          <w:left w:w="0" w:type="dxa"/>
          <w:right w:w="0" w:type="dxa"/>
        </w:tblCellMar>
      </w:tblPr>
      <w:tblGrid>
        <w:gridCol w:w="4085"/>
        <w:gridCol w:w="5601"/>
      </w:tblGrid>
      <w:tr>
        <w:trPr>
          <w:trHeight w:val="418" w:hRule="exact"/>
        </w:trPr>
        <w:tc>
          <w:tcPr>
            <w:tcW w:w="970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C5D9F0" w:fill="C5D9F0"/>
            <w:textDirection w:val="lrTb"/>
            <w:vAlign w:val="center"/>
          </w:tcPr>
          <w:p>
            <w:pPr>
              <w:pageBreakBefore w:val="false"/>
              <w:spacing w:before="97" w:after="119" w:line="201" w:lineRule="exact"/>
              <w:ind w:right="0" w:left="115" w:firstLine="0"/>
              <w:jc w:val="left"/>
              <w:textAlignment w:val="baseline"/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b w:val="true"/>
                <w:strike w:val="false"/>
                <w:color w:val="003399"/>
                <w:spacing w:val="0"/>
                <w:w w:val="100"/>
                <w:sz w:val="18"/>
                <w:vertAlign w:val="baseline"/>
                <w:lang w:val="it-IT"/>
              </w:rPr>
              <w:t xml:space="preserve">Luoghi</w:t>
            </w:r>
          </w:p>
        </w:tc>
      </w:tr>
      <w:tr>
        <w:trPr>
          <w:trHeight w:val="230" w:hRule="exact"/>
        </w:trPr>
        <w:tc>
          <w:tcPr>
            <w:tcW w:w="4102" w:type="auto"/>
            <w:gridSpan w:val="1"/>
            <w:tcBorders>
              <w:top w:val="single" w:sz="7" w:color="000000"/>
              <w:left w:val="single" w:sz="7" w:color="000000"/>
              <w:bottom w:val="none" w:sz="0" w:color="02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5" w:line="205" w:lineRule="exact"/>
              <w:ind w:right="0" w:left="115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Es:</w:t>
            </w:r>
          </w:p>
        </w:tc>
        <w:tc>
          <w:tcPr>
            <w:tcW w:w="9703" w:type="auto"/>
            <w:gridSpan w:val="1"/>
            <w:tcBorders>
              <w:top w:val="single" w:sz="7" w:color="000000"/>
              <w:left w:val="single" w:sz="7" w:color="000000"/>
              <w:bottom w:val="none" w:sz="0" w:color="02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  <w:tr>
        <w:trPr>
          <w:trHeight w:val="1839" w:hRule="exact"/>
        </w:trPr>
        <w:tc>
          <w:tcPr>
            <w:tcW w:w="4102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5"/>
              </w:numPr>
              <w:tabs>
                <w:tab w:val="clear" w:pos="288"/>
                <w:tab w:val="left" w:pos="504"/>
              </w:tabs>
              <w:spacing w:before="0" w:after="0" w:line="233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apertura nuove sedi operative/magazzini</w:t>
            </w:r>
          </w:p>
          <w:p>
            <w:pPr>
              <w:pageBreakBefore w:val="false"/>
              <w:numPr>
                <w:ilvl w:val="0"/>
                <w:numId w:val="5"/>
              </w:numPr>
              <w:tabs>
                <w:tab w:val="clear" w:pos="288"/>
                <w:tab w:val="left" w:pos="504"/>
              </w:tabs>
              <w:spacing w:before="25" w:after="0" w:line="233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cambi nei sistemi di sicurezza</w:t>
            </w:r>
          </w:p>
          <w:p>
            <w:pPr>
              <w:pageBreakBefore w:val="false"/>
              <w:numPr>
                <w:ilvl w:val="0"/>
                <w:numId w:val="5"/>
              </w:numPr>
              <w:tabs>
                <w:tab w:val="clear" w:pos="288"/>
                <w:tab w:val="left" w:pos="504"/>
              </w:tabs>
              <w:spacing w:before="28" w:after="0" w:line="233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cambio del responsabile per la sicurezza</w:t>
            </w:r>
          </w:p>
          <w:p>
            <w:pPr>
              <w:pageBreakBefore w:val="false"/>
              <w:numPr>
                <w:ilvl w:val="0"/>
                <w:numId w:val="5"/>
              </w:numPr>
              <w:tabs>
                <w:tab w:val="clear" w:pos="288"/>
                <w:tab w:val="left" w:pos="504"/>
              </w:tabs>
              <w:spacing w:before="26" w:after="0" w:line="233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problemi connessi alla sicurezza</w:t>
            </w:r>
          </w:p>
          <w:p>
            <w:pPr>
              <w:pageBreakBefore w:val="false"/>
              <w:numPr>
                <w:ilvl w:val="0"/>
                <w:numId w:val="5"/>
              </w:numPr>
              <w:tabs>
                <w:tab w:val="clear" w:pos="288"/>
                <w:tab w:val="left" w:pos="504"/>
              </w:tabs>
              <w:spacing w:before="25" w:after="0" w:line="233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incidenti rilevanti</w:t>
            </w:r>
          </w:p>
          <w:p>
            <w:pPr>
              <w:pageBreakBefore w:val="false"/>
              <w:numPr>
                <w:ilvl w:val="0"/>
                <w:numId w:val="5"/>
              </w:numPr>
              <w:tabs>
                <w:tab w:val="clear" w:pos="288"/>
                <w:tab w:val="left" w:pos="504"/>
              </w:tabs>
              <w:spacing w:before="22" w:after="0" w:line="233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perdita di carichi/spedizioni</w:t>
            </w:r>
          </w:p>
          <w:p>
            <w:pPr>
              <w:pageBreakBefore w:val="false"/>
              <w:numPr>
                <w:ilvl w:val="0"/>
                <w:numId w:val="5"/>
              </w:numPr>
              <w:tabs>
                <w:tab w:val="clear" w:pos="288"/>
                <w:tab w:val="left" w:pos="504"/>
              </w:tabs>
              <w:spacing w:before="27" w:after="38" w:line="233" w:lineRule="exact"/>
              <w:ind w:right="0" w:left="216" w:firstLine="0"/>
              <w:jc w:val="left"/>
              <w:textAlignment w:val="baseline"/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</w:pPr>
            <w:r>
              <w:rPr>
                <w:rFonts w:ascii="Garamond" w:hAnsi="Garamond" w:eastAsia="Garamond"/>
                <w:strike w:val="false"/>
                <w:color w:val="000000"/>
                <w:spacing w:val="0"/>
                <w:w w:val="100"/>
                <w:sz w:val="18"/>
                <w:vertAlign w:val="baseline"/>
                <w:lang w:val="it-IT"/>
              </w:rPr>
              <w:t xml:space="preserve">problemi con i partner commerciali</w:t>
            </w:r>
          </w:p>
        </w:tc>
        <w:tc>
          <w:tcPr>
            <w:tcW w:w="9703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</w:pPr>
            <w:r>
              <w:rPr>
                <w:rFonts w:ascii="Arial" w:hAnsi="Arial" w:eastAsia="Arial"/>
                <w:strike w:val="false"/>
                <w:color w:val="000000"/>
                <w:w w:val="100"/>
                <w:sz w:val="24"/>
                <w:vertAlign w:val="baseline"/>
                <w:lang w:val="it-IT"/>
              </w:rPr>
              <w:t xml:space="preserve">
</w:t>
            </w:r>
          </w:p>
        </w:tc>
      </w:tr>
    </w:tbl>
    <w:p>
      <w:pPr>
        <w:spacing w:before="0" w:after="1434" w:line="20" w:lineRule="exact"/>
      </w:pPr>
    </w:p>
    <w:p>
      <w:pPr>
        <w:spacing w:before="0" w:after="1434" w:line="20" w:lineRule="exact"/>
        <w:sectPr>
          <w:type w:val="nextPage"/>
          <w:pgSz w:w="11909" w:h="16838" w:orient="portrait"/>
          <w:pgMar w:bottom="442" w:top="700" w:right="1001" w:left="1188" w:header="720" w:footer="720"/>
          <w:titlePg w:val="false"/>
          <w:textDirection w:val="lrTb"/>
        </w:sectPr>
      </w:pPr>
    </w:p>
    <w:p>
      <w:pPr>
        <w:pageBreakBefore w:val="false"/>
        <w:spacing w:before="2" w:after="0" w:line="204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it-IT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8"/>
          <w:vertAlign w:val="baseline"/>
          <w:lang w:val="it-IT"/>
        </w:rPr>
        <w:t xml:space="preserve">4</w:t>
      </w:r>
    </w:p>
    <w:sectPr>
      <w:type w:val="continuous"/>
      <w:pgSz w:w="11909" w:h="16838" w:orient="portrait"/>
      <w:pgMar w:bottom="442" w:top="700" w:right="1063" w:left="1060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bullet"/>
      <w:lvlText w:val="·"/>
      <w:pPr>
        <w:tabs>
          <w:tab w:val="left" w:pos="360"/>
        </w:tabs>
      </w:pPr>
      <w:rPr>
        <w:rFonts w:ascii="Symbol" w:hAnsi="Symbol" w:eastAsia="Symbol"/>
        <w:strike w:val="false"/>
        <w:color w:val="000000"/>
        <w:spacing w:val="0"/>
        <w:w w:val="100"/>
        <w:sz w:val="20"/>
        <w:vertAlign w:val="baseline"/>
        <w:lang w:val="it-IT"/>
      </w:rPr>
    </w:lvl>
  </w:abstractNum>
  <w:abstractNum w:abstractNumId="2">
    <w:lvl w:ilvl="0">
      <w:start w:val="1"/>
      <w:numFmt w:val="bullet"/>
      <w:lvlText w:val="·"/>
      <w:pPr>
        <w:tabs>
          <w:tab w:val="left" w:pos="360"/>
        </w:tabs>
      </w:pPr>
      <w:rPr>
        <w:rFonts w:ascii="Symbol" w:hAnsi="Symbol" w:eastAsia="Symbol"/>
        <w:strike w:val="false"/>
        <w:color w:val="000000"/>
        <w:spacing w:val="0"/>
        <w:w w:val="100"/>
        <w:sz w:val="18"/>
        <w:vertAlign w:val="baseline"/>
        <w:lang w:val="it-IT"/>
      </w:rPr>
    </w:lvl>
  </w:abstractNum>
  <w:abstractNum w:abstractNumId="3">
    <w:lvl w:ilvl="0">
      <w:start w:val="1"/>
      <w:numFmt w:val="bullet"/>
      <w:lvlText w:val="·"/>
      <w:pPr>
        <w:tabs>
          <w:tab w:val="left" w:pos="432"/>
        </w:tabs>
      </w:pPr>
      <w:rPr>
        <w:rFonts w:ascii="Symbol" w:hAnsi="Symbol" w:eastAsia="Symbol"/>
        <w:strike w:val="false"/>
        <w:color w:val="000000"/>
        <w:spacing w:val="0"/>
        <w:w w:val="100"/>
        <w:sz w:val="20"/>
        <w:vertAlign w:val="baseline"/>
        <w:lang w:val="it-IT"/>
      </w:rPr>
    </w:lvl>
  </w:abstractNum>
  <w:abstractNum w:abstractNumId="4">
    <w:lvl w:ilvl="0">
      <w:start w:val="1"/>
      <w:numFmt w:val="bullet"/>
      <w:lvlText w:val="·"/>
      <w:pPr>
        <w:tabs>
          <w:tab w:val="left" w:pos="216"/>
        </w:tabs>
      </w:pPr>
      <w:rPr>
        <w:rFonts w:ascii="Symbol" w:hAnsi="Symbol" w:eastAsia="Symbol"/>
        <w:strike w:val="false"/>
        <w:color w:val="000000"/>
        <w:spacing w:val="0"/>
        <w:w w:val="100"/>
        <w:sz w:val="18"/>
        <w:vertAlign w:val="baseline"/>
        <w:lang w:val="it-IT"/>
      </w:rPr>
    </w:lvl>
  </w:abstractNum>
  <w:abstractNum w:abstractNumId="5">
    <w:lvl w:ilvl="0">
      <w:start w:val="1"/>
      <w:numFmt w:val="bullet"/>
      <w:lvlText w:val="·"/>
      <w:pPr>
        <w:tabs>
          <w:tab w:val="left" w:pos="288"/>
        </w:tabs>
      </w:pPr>
      <w:rPr>
        <w:rFonts w:ascii="Symbol" w:hAnsi="Symbol" w:eastAsia="Symbol"/>
        <w:strike w:val="false"/>
        <w:color w:val="000000"/>
        <w:spacing w:val="0"/>
        <w:w w:val="100"/>
        <w:sz w:val="18"/>
        <w:vertAlign w:val="baseline"/>
        <w:lang w:val="it-IT"/>
      </w:rPr>
    </w:lvl>
  </w:abstractNum>
  <w:abstractNum w:abstractNumId="6">
    <w:lvl w:ilvl="0">
      <w:start w:val="5"/>
      <w:numFmt w:val="decimal"/>
      <w:lvlText w:val="%1."/>
      <w:pPr>
        <w:tabs>
          <w:tab w:val="left" w:pos="432"/>
        </w:tabs>
      </w:pPr>
      <w:rPr>
        <w:rFonts w:ascii="Garamond" w:hAnsi="Garamond" w:eastAsia="Garamond"/>
        <w:b w:val="true"/>
        <w:strike w:val="false"/>
        <w:color w:val="003399"/>
        <w:spacing w:val="0"/>
        <w:w w:val="100"/>
        <w:sz w:val="32"/>
        <w:vertAlign w:val="baseline"/>
        <w:lang w:val="it-IT"/>
      </w:rPr>
    </w:lvl>
  </w:abstractNum>
  <w:abstractNum w:abstractNumId="7">
    <w:lvl w:ilvl="0">
      <w:start w:val="1"/>
      <w:numFmt w:val="decimal"/>
      <w:lvlText w:val="%1."/>
      <w:pPr>
        <w:tabs>
          <w:tab w:val="left" w:pos="432"/>
        </w:tabs>
      </w:pPr>
      <w:rPr>
        <w:rFonts w:ascii="Garamond" w:hAnsi="Garamond" w:eastAsia="Garamond"/>
        <w:b w:val="true"/>
        <w:strike w:val="false"/>
        <w:color w:val="003399"/>
        <w:spacing w:val="0"/>
        <w:w w:val="100"/>
        <w:sz w:val="32"/>
        <w:vertAlign w:val="baseline"/>
        <w:lang w:val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png"/><Relationship Id="prId4" Type="http://schemas.openxmlformats.org/officeDocument/2006/relationships/image" Target="media/image4.pn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